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D48B" w14:textId="05A4CEBA" w:rsidR="00C255B3" w:rsidRDefault="00E7230E" w:rsidP="000B7A03">
      <w:pPr>
        <w:rPr>
          <w:b/>
          <w:i/>
          <w:snapToGrid w:val="0"/>
          <w:lang w:val="en-US"/>
        </w:rPr>
      </w:pPr>
      <w:r>
        <w:rPr>
          <w:b/>
          <w:i/>
          <w:noProof/>
          <w:lang w:val="en-US"/>
        </w:rPr>
        <w:drawing>
          <wp:anchor distT="0" distB="0" distL="114300" distR="114300" simplePos="0" relativeHeight="251658240" behindDoc="1" locked="0" layoutInCell="1" allowOverlap="1" wp14:anchorId="0841713D" wp14:editId="4C814FB7">
            <wp:simplePos x="0" y="0"/>
            <wp:positionH relativeFrom="margin">
              <wp:posOffset>-584200</wp:posOffset>
            </wp:positionH>
            <wp:positionV relativeFrom="margin">
              <wp:posOffset>-631190</wp:posOffset>
            </wp:positionV>
            <wp:extent cx="7584440" cy="2247900"/>
            <wp:effectExtent l="0" t="0" r="0" b="0"/>
            <wp:wrapNone/>
            <wp:docPr id="1" name="Picture 1" descr="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tangl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4440" cy="2247900"/>
                    </a:xfrm>
                    <a:prstGeom prst="rect">
                      <a:avLst/>
                    </a:prstGeom>
                  </pic:spPr>
                </pic:pic>
              </a:graphicData>
            </a:graphic>
            <wp14:sizeRelH relativeFrom="page">
              <wp14:pctWidth>0</wp14:pctWidth>
            </wp14:sizeRelH>
            <wp14:sizeRelV relativeFrom="page">
              <wp14:pctHeight>0</wp14:pctHeight>
            </wp14:sizeRelV>
          </wp:anchor>
        </w:drawing>
      </w:r>
      <w:r w:rsidR="00A1445E">
        <w:rPr>
          <w:noProof/>
        </w:rPr>
        <mc:AlternateContent>
          <mc:Choice Requires="wps">
            <w:drawing>
              <wp:anchor distT="0" distB="0" distL="114300" distR="114300" simplePos="0" relativeHeight="251663360" behindDoc="0" locked="0" layoutInCell="1" allowOverlap="1" wp14:anchorId="4DE985BD" wp14:editId="5D272FC7">
                <wp:simplePos x="0" y="0"/>
                <wp:positionH relativeFrom="column">
                  <wp:posOffset>2110598</wp:posOffset>
                </wp:positionH>
                <wp:positionV relativeFrom="page">
                  <wp:posOffset>266605</wp:posOffset>
                </wp:positionV>
                <wp:extent cx="4474210" cy="69278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474210" cy="692785"/>
                        </a:xfrm>
                        <a:prstGeom prst="rect">
                          <a:avLst/>
                        </a:prstGeom>
                        <a:noFill/>
                        <a:ln w="6350">
                          <a:noFill/>
                        </a:ln>
                      </wps:spPr>
                      <wps:txbx>
                        <w:txbxContent>
                          <w:p w14:paraId="12BC7509" w14:textId="77777777" w:rsidR="00A1445E" w:rsidRDefault="00A1445E" w:rsidP="00A1445E">
                            <w:pPr>
                              <w:jc w:val="right"/>
                              <w:rPr>
                                <w:rFonts w:ascii="Arial" w:hAnsi="Arial" w:cs="Arial"/>
                                <w:b/>
                                <w:iCs/>
                                <w:color w:val="FFFFFF" w:themeColor="background1"/>
                                <w:sz w:val="15"/>
                                <w:szCs w:val="15"/>
                              </w:rPr>
                            </w:pPr>
                          </w:p>
                          <w:p w14:paraId="62E297C9" w14:textId="77777777" w:rsidR="00A1445E" w:rsidRPr="00E7230E" w:rsidRDefault="00A1445E" w:rsidP="00A1445E">
                            <w:pPr>
                              <w:jc w:val="right"/>
                              <w:rPr>
                                <w:rFonts w:ascii="Arial" w:hAnsi="Arial" w:cs="Arial"/>
                                <w:bCs/>
                                <w:iCs/>
                                <w:noProof/>
                                <w:color w:val="FFFFFF" w:themeColor="background1"/>
                                <w:lang w:val="en-US"/>
                              </w:rPr>
                            </w:pPr>
                            <w:r w:rsidRPr="00E7230E">
                              <w:rPr>
                                <w:rFonts w:ascii="Arial" w:hAnsi="Arial" w:cs="Arial"/>
                                <w:bCs/>
                                <w:iCs/>
                                <w:noProof/>
                                <w:color w:val="FFFFFF" w:themeColor="background1"/>
                                <w:lang w:val="en-US"/>
                              </w:rPr>
                              <w:t>Childrens Social Care and Lifelong Learning</w:t>
                            </w:r>
                          </w:p>
                          <w:p w14:paraId="29E5D8BB" w14:textId="77777777" w:rsidR="00A1445E" w:rsidRPr="00E7230E" w:rsidRDefault="00A1445E" w:rsidP="00A1445E">
                            <w:pPr>
                              <w:jc w:val="right"/>
                              <w:rPr>
                                <w:rFonts w:ascii="Arial" w:hAnsi="Arial" w:cs="Arial"/>
                                <w:b/>
                                <w:iCs/>
                                <w:color w:val="FFFFFF" w:themeColor="background1"/>
                              </w:rPr>
                            </w:pPr>
                            <w:r w:rsidRPr="00E7230E">
                              <w:rPr>
                                <w:rFonts w:ascii="Arial" w:hAnsi="Arial" w:cs="Arial"/>
                                <w:bCs/>
                                <w:iCs/>
                                <w:noProof/>
                                <w:color w:val="FFFFFF" w:themeColor="background1"/>
                                <w:lang w:val="en-US"/>
                              </w:rPr>
                              <w:t>Education, Schools and Inclusion, SEND Team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985BD" id="_x0000_t202" coordsize="21600,21600" o:spt="202" path="m,l,21600r21600,l21600,xe">
                <v:stroke joinstyle="miter"/>
                <v:path gradientshapeok="t" o:connecttype="rect"/>
              </v:shapetype>
              <v:shape id="Text Box 16" o:spid="_x0000_s1026" type="#_x0000_t202" style="position:absolute;margin-left:166.2pt;margin-top:21pt;width:352.3pt;height:5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" filled="f" stroked="f" strokeweight=".5pt">
                <v:textbox>
                  <w:txbxContent>
                    <w:p w14:paraId="12BC7509" w14:textId="77777777" w:rsidR="00A1445E" w:rsidRDefault="00A1445E" w:rsidP="00A1445E">
                      <w:pPr>
                        <w:jc w:val="right"/>
                        <w:rPr>
                          <w:rFonts w:ascii="Arial" w:hAnsi="Arial" w:cs="Arial"/>
                          <w:b/>
                          <w:iCs/>
                          <w:color w:val="FFFFFF" w:themeColor="background1"/>
                          <w:sz w:val="15"/>
                          <w:szCs w:val="15"/>
                        </w:rPr>
                      </w:pPr>
                    </w:p>
                    <w:p w14:paraId="62E297C9" w14:textId="77777777" w:rsidR="00A1445E" w:rsidRPr="00E7230E" w:rsidRDefault="00A1445E" w:rsidP="00A1445E">
                      <w:pPr>
                        <w:jc w:val="right"/>
                        <w:rPr>
                          <w:rFonts w:ascii="Arial" w:hAnsi="Arial" w:cs="Arial"/>
                          <w:bCs/>
                          <w:iCs/>
                          <w:noProof/>
                          <w:color w:val="FFFFFF" w:themeColor="background1"/>
                          <w:lang w:val="en-US"/>
                        </w:rPr>
                      </w:pPr>
                      <w:r w:rsidRPr="00E7230E">
                        <w:rPr>
                          <w:rFonts w:ascii="Arial" w:hAnsi="Arial" w:cs="Arial"/>
                          <w:bCs/>
                          <w:iCs/>
                          <w:noProof/>
                          <w:color w:val="FFFFFF" w:themeColor="background1"/>
                          <w:lang w:val="en-US"/>
                        </w:rPr>
                        <w:t>Childrens Social Care and Lifelong Learning</w:t>
                      </w:r>
                    </w:p>
                    <w:p w14:paraId="29E5D8BB" w14:textId="77777777" w:rsidR="00A1445E" w:rsidRPr="00E7230E" w:rsidRDefault="00A1445E" w:rsidP="00A1445E">
                      <w:pPr>
                        <w:jc w:val="right"/>
                        <w:rPr>
                          <w:rFonts w:ascii="Arial" w:hAnsi="Arial" w:cs="Arial"/>
                          <w:b/>
                          <w:iCs/>
                          <w:color w:val="FFFFFF" w:themeColor="background1"/>
                        </w:rPr>
                      </w:pPr>
                      <w:r w:rsidRPr="00E7230E">
                        <w:rPr>
                          <w:rFonts w:ascii="Arial" w:hAnsi="Arial" w:cs="Arial"/>
                          <w:bCs/>
                          <w:iCs/>
                          <w:noProof/>
                          <w:color w:val="FFFFFF" w:themeColor="background1"/>
                          <w:lang w:val="en-US"/>
                        </w:rPr>
                        <w:t>Education, Schools and Inclusion, SEND Team</w:t>
                      </w:r>
                    </w:p>
                  </w:txbxContent>
                </v:textbox>
                <w10:wrap anchory="page"/>
              </v:shape>
            </w:pict>
          </mc:Fallback>
        </mc:AlternateContent>
      </w:r>
      <w:r w:rsidR="002444EC">
        <w:rPr>
          <w:b/>
          <w:i/>
          <w:snapToGrid w:val="0"/>
          <w:lang w:val="en-US"/>
        </w:rPr>
        <w:tab/>
      </w:r>
    </w:p>
    <w:p w14:paraId="06F4612C" w14:textId="1E9B7B08" w:rsidR="00C255B3" w:rsidRDefault="00FD12B9" w:rsidP="000B7A03">
      <w:pPr>
        <w:rPr>
          <w:b/>
          <w:i/>
          <w:snapToGrid w:val="0"/>
          <w:lang w:val="en-US"/>
        </w:rPr>
      </w:pPr>
      <w:r>
        <w:rPr>
          <w:b/>
          <w:i/>
          <w:noProof/>
          <w:lang w:val="en-US"/>
        </w:rPr>
        <mc:AlternateContent>
          <mc:Choice Requires="wps">
            <w:drawing>
              <wp:anchor distT="0" distB="0" distL="114300" distR="114300" simplePos="0" relativeHeight="251661312" behindDoc="0" locked="0" layoutInCell="1" allowOverlap="1" wp14:anchorId="57B120AC" wp14:editId="390A8FCD">
                <wp:simplePos x="0" y="0"/>
                <wp:positionH relativeFrom="column">
                  <wp:posOffset>-285750</wp:posOffset>
                </wp:positionH>
                <wp:positionV relativeFrom="paragraph">
                  <wp:posOffset>162560</wp:posOffset>
                </wp:positionV>
                <wp:extent cx="6489700" cy="12128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489700" cy="1212850"/>
                        </a:xfrm>
                        <a:prstGeom prst="rect">
                          <a:avLst/>
                        </a:prstGeom>
                        <a:noFill/>
                        <a:ln w="6350">
                          <a:noFill/>
                        </a:ln>
                      </wps:spPr>
                      <wps:txbx>
                        <w:txbxContent>
                          <w:p w14:paraId="3A6875EF" w14:textId="089FB785" w:rsidR="00A1445E" w:rsidRDefault="00B73F0B" w:rsidP="00A1445E">
                            <w:pPr>
                              <w:rPr>
                                <w:rFonts w:ascii="Arial" w:hAnsi="Arial" w:cs="Arial"/>
                                <w:b/>
                                <w:color w:val="FFFFFF" w:themeColor="background1"/>
                              </w:rPr>
                            </w:pPr>
                            <w:r w:rsidRPr="00B73F0B">
                              <w:rPr>
                                <w:rFonts w:asciiTheme="minorHAnsi" w:hAnsiTheme="minorHAnsi" w:cstheme="minorHAnsi"/>
                                <w:b/>
                                <w:bCs/>
                                <w:color w:val="FFFFFF" w:themeColor="background1"/>
                                <w:sz w:val="40"/>
                                <w:szCs w:val="40"/>
                              </w:rPr>
                              <w:t>Capturing the Child’s Voice in the Early Years</w:t>
                            </w:r>
                          </w:p>
                          <w:p w14:paraId="64EE8881" w14:textId="77777777" w:rsidR="00A1445E" w:rsidRPr="007A05F9" w:rsidRDefault="00A1445E" w:rsidP="007A05F9">
                            <w:pPr>
                              <w:spacing w:line="680" w:lineRule="exact"/>
                              <w:rPr>
                                <w:rFonts w:asciiTheme="minorHAnsi" w:hAnsiTheme="minorHAnsi" w:cstheme="minorHAnsi"/>
                                <w:b/>
                                <w:bCs/>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120AC" id="Text Box 3" o:spid="_x0000_s1027" type="#_x0000_t202" style="position:absolute;margin-left:-22.5pt;margin-top:12.8pt;width:511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" filled="f" stroked="f" strokeweight=".5pt">
                <v:textbox>
                  <w:txbxContent>
                    <w:p w14:paraId="3A6875EF" w14:textId="089FB785" w:rsidR="00A1445E" w:rsidRDefault="00B73F0B" w:rsidP="00A1445E">
                      <w:pPr>
                        <w:rPr>
                          <w:rFonts w:ascii="Arial" w:hAnsi="Arial" w:cs="Arial"/>
                          <w:b/>
                          <w:color w:val="FFFFFF" w:themeColor="background1"/>
                        </w:rPr>
                      </w:pPr>
                      <w:r w:rsidRPr="00B73F0B">
                        <w:rPr>
                          <w:rFonts w:asciiTheme="minorHAnsi" w:hAnsiTheme="minorHAnsi" w:cstheme="minorHAnsi"/>
                          <w:b/>
                          <w:bCs/>
                          <w:color w:val="FFFFFF" w:themeColor="background1"/>
                          <w:sz w:val="40"/>
                          <w:szCs w:val="40"/>
                        </w:rPr>
                        <w:t>Capturing the Child’s Voice in the Early Years</w:t>
                      </w:r>
                    </w:p>
                    <w:p w14:paraId="64EE8881" w14:textId="77777777" w:rsidR="00A1445E" w:rsidRPr="007A05F9" w:rsidRDefault="00A1445E" w:rsidP="007A05F9">
                      <w:pPr>
                        <w:spacing w:line="680" w:lineRule="exact"/>
                        <w:rPr>
                          <w:rFonts w:asciiTheme="minorHAnsi" w:hAnsiTheme="minorHAnsi" w:cstheme="minorHAnsi"/>
                          <w:b/>
                          <w:bCs/>
                          <w:color w:val="FFFFFF" w:themeColor="background1"/>
                          <w:sz w:val="72"/>
                          <w:szCs w:val="72"/>
                        </w:rPr>
                      </w:pPr>
                    </w:p>
                  </w:txbxContent>
                </v:textbox>
              </v:shape>
            </w:pict>
          </mc:Fallback>
        </mc:AlternateContent>
      </w:r>
    </w:p>
    <w:p w14:paraId="0F4FA213" w14:textId="6D29B081" w:rsidR="00C255B3" w:rsidRDefault="00C255B3" w:rsidP="000B7A03">
      <w:pPr>
        <w:rPr>
          <w:b/>
          <w:i/>
          <w:snapToGrid w:val="0"/>
          <w:lang w:val="en-US"/>
        </w:rPr>
      </w:pPr>
    </w:p>
    <w:p w14:paraId="7035C00A" w14:textId="6E2D1062" w:rsidR="00C255B3" w:rsidRDefault="00C255B3" w:rsidP="000B7A03">
      <w:pPr>
        <w:rPr>
          <w:b/>
          <w:i/>
          <w:snapToGrid w:val="0"/>
          <w:lang w:val="en-US"/>
        </w:rPr>
      </w:pPr>
    </w:p>
    <w:p w14:paraId="1F83C363" w14:textId="093ADF49" w:rsidR="00C255B3" w:rsidRDefault="00C255B3" w:rsidP="000B7A03">
      <w:pPr>
        <w:rPr>
          <w:b/>
          <w:i/>
          <w:snapToGrid w:val="0"/>
          <w:lang w:val="en-US"/>
        </w:rPr>
      </w:pPr>
    </w:p>
    <w:p w14:paraId="1046998A" w14:textId="69458383" w:rsidR="00C255B3" w:rsidRDefault="00C255B3" w:rsidP="000B7A03">
      <w:pPr>
        <w:rPr>
          <w:b/>
          <w:i/>
          <w:snapToGrid w:val="0"/>
          <w:lang w:val="en-US"/>
        </w:rPr>
      </w:pPr>
    </w:p>
    <w:p w14:paraId="7A94533E" w14:textId="7D15357E" w:rsidR="00C255B3" w:rsidRDefault="00C255B3" w:rsidP="000B7A03">
      <w:pPr>
        <w:rPr>
          <w:b/>
          <w:i/>
          <w:snapToGrid w:val="0"/>
          <w:lang w:val="en-US"/>
        </w:rPr>
      </w:pPr>
    </w:p>
    <w:p w14:paraId="6CF14A36" w14:textId="573314A0" w:rsidR="00C255B3" w:rsidRDefault="00C255B3" w:rsidP="000B7A03">
      <w:pPr>
        <w:rPr>
          <w:b/>
          <w:i/>
          <w:snapToGrid w:val="0"/>
          <w:lang w:val="en-US"/>
        </w:rPr>
      </w:pPr>
    </w:p>
    <w:p w14:paraId="76A25B9E" w14:textId="44667D21" w:rsidR="00C255B3" w:rsidRDefault="00C255B3" w:rsidP="000B7A03">
      <w:pPr>
        <w:rPr>
          <w:b/>
          <w:i/>
          <w:snapToGrid w:val="0"/>
          <w:lang w:val="en-US"/>
        </w:rPr>
      </w:pPr>
    </w:p>
    <w:p w14:paraId="4DA855E7" w14:textId="5B793383" w:rsidR="00C255B3" w:rsidRDefault="00C255B3" w:rsidP="000B7A03">
      <w:pPr>
        <w:rPr>
          <w:b/>
          <w:i/>
          <w:snapToGrid w:val="0"/>
          <w:lang w:val="en-US"/>
        </w:rPr>
      </w:pPr>
    </w:p>
    <w:p w14:paraId="4259184D" w14:textId="7628D12D" w:rsidR="00084F7E" w:rsidRPr="00002400" w:rsidRDefault="00084F7E" w:rsidP="00FD12B9">
      <w:pPr>
        <w:spacing w:after="80"/>
        <w:rPr>
          <w:rFonts w:asciiTheme="minorHAnsi" w:hAnsiTheme="minorHAnsi" w:cstheme="minorHAnsi"/>
        </w:rPr>
      </w:pPr>
    </w:p>
    <w:p w14:paraId="08FA1DBB" w14:textId="548BF11F"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Article 12 of the United Nations Convention for the Rights of the Child states</w:t>
      </w:r>
      <w:r>
        <w:rPr>
          <w:rFonts w:asciiTheme="minorHAnsi" w:hAnsiTheme="minorHAnsi" w:cstheme="minorHAnsi"/>
          <w:sz w:val="28"/>
          <w:szCs w:val="28"/>
        </w:rPr>
        <w:t>:</w:t>
      </w:r>
    </w:p>
    <w:p w14:paraId="7E5345DA" w14:textId="77777777" w:rsidR="00B73F0B" w:rsidRPr="00B73F0B" w:rsidRDefault="00B73F0B" w:rsidP="00B73F0B">
      <w:pPr>
        <w:spacing w:after="80"/>
        <w:rPr>
          <w:rFonts w:asciiTheme="minorHAnsi" w:hAnsiTheme="minorHAnsi" w:cstheme="minorHAnsi"/>
          <w:i/>
          <w:iCs/>
          <w:sz w:val="28"/>
          <w:szCs w:val="28"/>
        </w:rPr>
      </w:pPr>
      <w:r w:rsidRPr="00B73F0B">
        <w:rPr>
          <w:rFonts w:asciiTheme="minorHAnsi" w:hAnsiTheme="minorHAnsi" w:cstheme="minorHAnsi"/>
          <w:i/>
          <w:iCs/>
          <w:sz w:val="28"/>
          <w:szCs w:val="28"/>
        </w:rPr>
        <w:t>“Every child has the right to express their views, feelings and wishes in all matters affecting them, and to have their views considered and taken seriously.”</w:t>
      </w:r>
    </w:p>
    <w:p w14:paraId="0D8896CC" w14:textId="77777777" w:rsidR="00B73F0B" w:rsidRDefault="00B73F0B" w:rsidP="00B73F0B">
      <w:pPr>
        <w:spacing w:after="80"/>
        <w:rPr>
          <w:rFonts w:asciiTheme="minorHAnsi" w:hAnsiTheme="minorHAnsi" w:cstheme="minorHAnsi"/>
          <w:sz w:val="28"/>
          <w:szCs w:val="28"/>
        </w:rPr>
      </w:pPr>
    </w:p>
    <w:p w14:paraId="5BABC1DE" w14:textId="49BE6483"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Birth to 5 Matters states</w:t>
      </w:r>
      <w:r>
        <w:rPr>
          <w:rFonts w:asciiTheme="minorHAnsi" w:hAnsiTheme="minorHAnsi" w:cstheme="minorHAnsi"/>
          <w:sz w:val="28"/>
          <w:szCs w:val="28"/>
        </w:rPr>
        <w:t>:</w:t>
      </w:r>
      <w:r w:rsidRPr="00B73F0B">
        <w:rPr>
          <w:rFonts w:asciiTheme="minorHAnsi" w:hAnsiTheme="minorHAnsi" w:cstheme="minorHAnsi"/>
          <w:sz w:val="28"/>
          <w:szCs w:val="28"/>
        </w:rPr>
        <w:t xml:space="preserve"> </w:t>
      </w:r>
    </w:p>
    <w:p w14:paraId="67393D49" w14:textId="77777777" w:rsidR="00B73F0B" w:rsidRPr="00B73F0B" w:rsidRDefault="00B73F0B" w:rsidP="00B73F0B">
      <w:pPr>
        <w:spacing w:after="80"/>
        <w:rPr>
          <w:rFonts w:asciiTheme="minorHAnsi" w:hAnsiTheme="minorHAnsi" w:cstheme="minorHAnsi"/>
          <w:i/>
          <w:iCs/>
          <w:sz w:val="28"/>
          <w:szCs w:val="28"/>
        </w:rPr>
      </w:pPr>
      <w:r w:rsidRPr="00B73F0B">
        <w:rPr>
          <w:rFonts w:asciiTheme="minorHAnsi" w:hAnsiTheme="minorHAnsi" w:cstheme="minorHAnsi"/>
          <w:i/>
          <w:iCs/>
          <w:sz w:val="28"/>
          <w:szCs w:val="28"/>
        </w:rPr>
        <w:t>“Listening to children’s voices and recognising these are expressed in a range of ways, including non-verbally is central to inclusive practice.”</w:t>
      </w:r>
    </w:p>
    <w:p w14:paraId="19F0F8FB" w14:textId="77777777" w:rsidR="00B73F0B" w:rsidRPr="00B73F0B" w:rsidRDefault="00B73F0B" w:rsidP="00B73F0B">
      <w:pPr>
        <w:spacing w:after="80"/>
        <w:rPr>
          <w:rFonts w:asciiTheme="minorHAnsi" w:hAnsiTheme="minorHAnsi" w:cstheme="minorHAnsi"/>
          <w:sz w:val="28"/>
          <w:szCs w:val="28"/>
        </w:rPr>
      </w:pPr>
    </w:p>
    <w:p w14:paraId="7DC17CAE" w14:textId="77777777" w:rsidR="00B73F0B" w:rsidRPr="00B73F0B" w:rsidRDefault="00B73F0B" w:rsidP="00B73F0B">
      <w:pPr>
        <w:spacing w:after="80"/>
        <w:rPr>
          <w:rFonts w:asciiTheme="minorHAnsi" w:hAnsiTheme="minorHAnsi" w:cstheme="minorHAnsi"/>
          <w:b/>
          <w:bCs/>
          <w:sz w:val="28"/>
          <w:szCs w:val="28"/>
        </w:rPr>
      </w:pPr>
      <w:r w:rsidRPr="00B73F0B">
        <w:rPr>
          <w:rFonts w:asciiTheme="minorHAnsi" w:hAnsiTheme="minorHAnsi" w:cstheme="minorHAnsi"/>
          <w:b/>
          <w:bCs/>
          <w:sz w:val="28"/>
          <w:szCs w:val="28"/>
        </w:rPr>
        <w:t>Practical Tips:</w:t>
      </w:r>
    </w:p>
    <w:p w14:paraId="02D91F44" w14:textId="77777777" w:rsid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 xml:space="preserve">Listening to children and consulting with them is not a one-off event, it involves engagement over time. We must ensure that all children have a right to privacy and confidentiality: they have a right to their engagement with adults being worthwhile, respectful, and enjoyable. As practitioners, we must respect the child’s right to withdraw from interactions, ensuring that any interactions are through voluntary participation. </w:t>
      </w:r>
    </w:p>
    <w:p w14:paraId="61ACA3F9" w14:textId="77777777" w:rsidR="00B73F0B" w:rsidRPr="00B73F0B" w:rsidRDefault="00B73F0B" w:rsidP="00B73F0B">
      <w:pPr>
        <w:spacing w:after="80"/>
        <w:rPr>
          <w:rFonts w:asciiTheme="minorHAnsi" w:hAnsiTheme="minorHAnsi" w:cstheme="minorHAnsi"/>
          <w:sz w:val="28"/>
          <w:szCs w:val="28"/>
        </w:rPr>
      </w:pPr>
    </w:p>
    <w:p w14:paraId="5E913783" w14:textId="77777777" w:rsid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Observation – practitioners need to ‘tune in’ to the child using all their senses and listen to what the child is communicating. Communication is more than speech, consider the child’s body language, eye gaze, eye pointing, blinking, crying, laughing, humming, smiling, hitting, kissing, touching, running away, intonation, volume of voice. Value any communication aids which may be used, for example, signing, visuals. Tune into how the child communicates through their emotions and mood. How do they demonstrate their communication through behaviours?</w:t>
      </w:r>
    </w:p>
    <w:p w14:paraId="3DBDB68E" w14:textId="77777777" w:rsidR="00B73F0B" w:rsidRPr="00B73F0B" w:rsidRDefault="00B73F0B" w:rsidP="00B73F0B">
      <w:pPr>
        <w:spacing w:after="80"/>
        <w:rPr>
          <w:rFonts w:asciiTheme="minorHAnsi" w:hAnsiTheme="minorHAnsi" w:cstheme="minorHAnsi"/>
          <w:sz w:val="28"/>
          <w:szCs w:val="28"/>
        </w:rPr>
      </w:pPr>
    </w:p>
    <w:p w14:paraId="040B8532" w14:textId="77777777" w:rsidR="00B73F0B" w:rsidRPr="00B73F0B" w:rsidRDefault="00B73F0B" w:rsidP="00B73F0B">
      <w:pPr>
        <w:spacing w:after="80"/>
        <w:rPr>
          <w:rFonts w:asciiTheme="minorHAnsi" w:hAnsiTheme="minorHAnsi" w:cstheme="minorHAnsi"/>
          <w:b/>
          <w:bCs/>
          <w:sz w:val="28"/>
          <w:szCs w:val="28"/>
        </w:rPr>
      </w:pPr>
      <w:r w:rsidRPr="00B73F0B">
        <w:rPr>
          <w:rFonts w:asciiTheme="minorHAnsi" w:hAnsiTheme="minorHAnsi" w:cstheme="minorHAnsi"/>
          <w:b/>
          <w:bCs/>
          <w:sz w:val="28"/>
          <w:szCs w:val="28"/>
        </w:rPr>
        <w:t>Consider:</w:t>
      </w:r>
    </w:p>
    <w:p w14:paraId="49018929" w14:textId="77777777"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How the child separates from their parent/carer</w:t>
      </w:r>
    </w:p>
    <w:p w14:paraId="5AF7B3FF" w14:textId="77777777"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How they engage and interact with their peers and practitioners</w:t>
      </w:r>
    </w:p>
    <w:p w14:paraId="6BC13020" w14:textId="77777777"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How they engage in different environments</w:t>
      </w:r>
    </w:p>
    <w:p w14:paraId="6D602A71" w14:textId="77777777"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lastRenderedPageBreak/>
        <w:t>•</w:t>
      </w:r>
      <w:r w:rsidRPr="00B73F0B">
        <w:rPr>
          <w:rFonts w:asciiTheme="minorHAnsi" w:hAnsiTheme="minorHAnsi" w:cstheme="minorHAnsi"/>
          <w:sz w:val="28"/>
          <w:szCs w:val="28"/>
        </w:rPr>
        <w:tab/>
        <w:t>Follow their lead, what are their likes/dislikes.</w:t>
      </w:r>
    </w:p>
    <w:p w14:paraId="21E57D03" w14:textId="7BF9A1FF"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When does the child rest?</w:t>
      </w:r>
    </w:p>
    <w:p w14:paraId="19EDF3A4" w14:textId="77777777"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How they develop their independence and autonomy</w:t>
      </w:r>
    </w:p>
    <w:p w14:paraId="58A8A176" w14:textId="77777777"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Does the child present any schemas?</w:t>
      </w:r>
    </w:p>
    <w:p w14:paraId="226FA85B" w14:textId="58A6F363"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Consider the</w:t>
      </w:r>
      <w:r>
        <w:rPr>
          <w:rFonts w:asciiTheme="minorHAnsi" w:hAnsiTheme="minorHAnsi" w:cstheme="minorHAnsi"/>
          <w:sz w:val="28"/>
          <w:szCs w:val="28"/>
        </w:rPr>
        <w:t xml:space="preserve"> </w:t>
      </w:r>
      <w:r w:rsidRPr="00B73F0B">
        <w:rPr>
          <w:rFonts w:asciiTheme="minorHAnsi" w:hAnsiTheme="minorHAnsi" w:cstheme="minorHAnsi"/>
          <w:b/>
          <w:bCs/>
          <w:sz w:val="28"/>
          <w:szCs w:val="28"/>
        </w:rPr>
        <w:fldChar w:fldCharType="begin"/>
      </w:r>
      <w:r w:rsidRPr="00B73F0B">
        <w:rPr>
          <w:rFonts w:asciiTheme="minorHAnsi" w:hAnsiTheme="minorHAnsi" w:cstheme="minorHAnsi"/>
          <w:b/>
          <w:bCs/>
          <w:sz w:val="28"/>
          <w:szCs w:val="28"/>
        </w:rPr>
        <w:instrText>HYPERLINK "https://birthto5matters.org.uk/overview-characteristics-of-effective-learning-and-areas-of-learning-and-development/"</w:instrText>
      </w:r>
      <w:r w:rsidRPr="00B73F0B">
        <w:rPr>
          <w:rFonts w:asciiTheme="minorHAnsi" w:hAnsiTheme="minorHAnsi" w:cstheme="minorHAnsi"/>
          <w:b/>
          <w:bCs/>
          <w:sz w:val="28"/>
          <w:szCs w:val="28"/>
        </w:rPr>
      </w:r>
      <w:r w:rsidRPr="00B73F0B">
        <w:rPr>
          <w:rFonts w:asciiTheme="minorHAnsi" w:hAnsiTheme="minorHAnsi" w:cstheme="minorHAnsi"/>
          <w:b/>
          <w:bCs/>
          <w:sz w:val="28"/>
          <w:szCs w:val="28"/>
        </w:rPr>
        <w:fldChar w:fldCharType="separate"/>
      </w:r>
      <w:r w:rsidRPr="00B73F0B">
        <w:rPr>
          <w:rStyle w:val="Hyperlink"/>
          <w:rFonts w:asciiTheme="minorHAnsi" w:hAnsiTheme="minorHAnsi" w:cstheme="minorHAnsi"/>
          <w:b/>
          <w:bCs/>
          <w:sz w:val="28"/>
          <w:szCs w:val="28"/>
        </w:rPr>
        <w:t xml:space="preserve">Characteristics of Effective Learning </w:t>
      </w:r>
      <w:r w:rsidRPr="00B73F0B">
        <w:rPr>
          <w:rFonts w:asciiTheme="minorHAnsi" w:hAnsiTheme="minorHAnsi" w:cstheme="minorHAnsi"/>
          <w:b/>
          <w:bCs/>
          <w:sz w:val="28"/>
          <w:szCs w:val="28"/>
        </w:rPr>
        <w:fldChar w:fldCharType="end"/>
      </w:r>
      <w:r>
        <w:rPr>
          <w:rFonts w:asciiTheme="minorHAnsi" w:hAnsiTheme="minorHAnsi" w:cstheme="minorHAnsi"/>
          <w:sz w:val="28"/>
          <w:szCs w:val="28"/>
        </w:rPr>
        <w:t>.</w:t>
      </w:r>
    </w:p>
    <w:p w14:paraId="54321664" w14:textId="32CE7783"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Consider the</w:t>
      </w:r>
      <w:r>
        <w:rPr>
          <w:rFonts w:asciiTheme="minorHAnsi" w:hAnsiTheme="minorHAnsi" w:cstheme="minorHAnsi"/>
          <w:sz w:val="28"/>
          <w:szCs w:val="28"/>
        </w:rPr>
        <w:t xml:space="preserve"> </w:t>
      </w:r>
      <w:hyperlink r:id="rId8" w:history="1">
        <w:r w:rsidRPr="00B73F0B">
          <w:rPr>
            <w:rStyle w:val="Hyperlink"/>
            <w:rFonts w:asciiTheme="minorHAnsi" w:hAnsiTheme="minorHAnsi" w:cstheme="minorHAnsi"/>
            <w:b/>
            <w:bCs/>
            <w:sz w:val="28"/>
            <w:szCs w:val="28"/>
          </w:rPr>
          <w:t>Leuven Scales</w:t>
        </w:r>
      </w:hyperlink>
      <w:r w:rsidRPr="00B73F0B">
        <w:rPr>
          <w:rFonts w:asciiTheme="minorHAnsi" w:hAnsiTheme="minorHAnsi" w:cstheme="minorHAnsi"/>
          <w:sz w:val="28"/>
          <w:szCs w:val="28"/>
        </w:rPr>
        <w:t xml:space="preserve"> to indicate a child’s wellbeing and involvement. </w:t>
      </w:r>
    </w:p>
    <w:p w14:paraId="559D13D3" w14:textId="57CC9938" w:rsid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Journals can be used as a way of recording their development over a period of time showing how they learn.</w:t>
      </w:r>
    </w:p>
    <w:p w14:paraId="7F8F3EF7" w14:textId="77777777"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Talking – ensure time is given for children to talk valuing their responses through genuine active listening. Remember to listen more than we talk!</w:t>
      </w:r>
    </w:p>
    <w:p w14:paraId="356F97B8" w14:textId="77777777"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Writing – Write what the child says exactly as they say it.</w:t>
      </w:r>
    </w:p>
    <w:p w14:paraId="151C4FC7" w14:textId="77777777"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Photographs – these can capture play, choices, and creations. Remember to take the photograph from the child’s level, use photographs to initiate conversations. Consider body cameras as they can provide an insight into the child’s world.</w:t>
      </w:r>
    </w:p>
    <w:p w14:paraId="7A2D4847" w14:textId="77777777"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w:t>
      </w:r>
      <w:r w:rsidRPr="00B73F0B">
        <w:rPr>
          <w:rFonts w:asciiTheme="minorHAnsi" w:hAnsiTheme="minorHAnsi" w:cstheme="minorHAnsi"/>
          <w:sz w:val="28"/>
          <w:szCs w:val="28"/>
        </w:rPr>
        <w:tab/>
        <w:t>Provide opportunities for children to express themselves through art or other creative ways including role play, dance, singing, musical instruments. Observe the child’s expressions, communications, their stories in pictures.</w:t>
      </w:r>
    </w:p>
    <w:p w14:paraId="363AB478" w14:textId="77777777" w:rsidR="00B73F0B" w:rsidRPr="00B73F0B" w:rsidRDefault="00B73F0B" w:rsidP="00B73F0B">
      <w:pPr>
        <w:spacing w:after="80"/>
        <w:rPr>
          <w:rFonts w:asciiTheme="minorHAnsi" w:hAnsiTheme="minorHAnsi" w:cstheme="minorHAnsi"/>
          <w:sz w:val="28"/>
          <w:szCs w:val="28"/>
        </w:rPr>
      </w:pPr>
    </w:p>
    <w:p w14:paraId="052A2FFF" w14:textId="77777777" w:rsidR="00B73F0B" w:rsidRPr="00B73F0B" w:rsidRDefault="00B73F0B" w:rsidP="00B73F0B">
      <w:pPr>
        <w:spacing w:after="80"/>
        <w:rPr>
          <w:rFonts w:asciiTheme="minorHAnsi" w:hAnsiTheme="minorHAnsi" w:cstheme="minorHAnsi"/>
          <w:sz w:val="28"/>
          <w:szCs w:val="28"/>
        </w:rPr>
      </w:pPr>
    </w:p>
    <w:p w14:paraId="3E7FF94B" w14:textId="77777777" w:rsidR="00B73F0B" w:rsidRPr="00B73F0B" w:rsidRDefault="00B73F0B" w:rsidP="00B73F0B">
      <w:pPr>
        <w:spacing w:after="80"/>
        <w:rPr>
          <w:rFonts w:asciiTheme="minorHAnsi" w:hAnsiTheme="minorHAnsi" w:cstheme="minorHAnsi"/>
          <w:b/>
          <w:bCs/>
          <w:i/>
          <w:iCs/>
          <w:sz w:val="28"/>
          <w:szCs w:val="28"/>
        </w:rPr>
      </w:pPr>
      <w:r w:rsidRPr="00B73F0B">
        <w:rPr>
          <w:rFonts w:asciiTheme="minorHAnsi" w:hAnsiTheme="minorHAnsi" w:cstheme="minorHAnsi"/>
          <w:b/>
          <w:bCs/>
          <w:i/>
          <w:iCs/>
          <w:sz w:val="28"/>
          <w:szCs w:val="28"/>
        </w:rPr>
        <w:t xml:space="preserve">“Try listening with the heart and not just the ears, there is a voice that doesn’t use words.” </w:t>
      </w:r>
    </w:p>
    <w:p w14:paraId="7104CFD9" w14:textId="4E8B79CD" w:rsidR="00B73F0B" w:rsidRPr="00B73F0B" w:rsidRDefault="00B73F0B" w:rsidP="00B73F0B">
      <w:pPr>
        <w:spacing w:after="80"/>
        <w:rPr>
          <w:rFonts w:asciiTheme="minorHAnsi" w:hAnsiTheme="minorHAnsi" w:cstheme="minorHAnsi"/>
          <w:sz w:val="28"/>
          <w:szCs w:val="28"/>
        </w:rPr>
      </w:pPr>
      <w:r w:rsidRPr="00B73F0B">
        <w:rPr>
          <w:rFonts w:asciiTheme="minorHAnsi" w:hAnsiTheme="minorHAnsi" w:cstheme="minorHAnsi"/>
          <w:sz w:val="28"/>
          <w:szCs w:val="28"/>
        </w:rPr>
        <w:t>Carol Hughes</w:t>
      </w:r>
    </w:p>
    <w:sectPr w:rsidR="00B73F0B" w:rsidRPr="00B73F0B" w:rsidSect="00103D63">
      <w:headerReference w:type="default" r:id="rId9"/>
      <w:footerReference w:type="even" r:id="rId10"/>
      <w:footerReference w:type="default" r:id="rId11"/>
      <w:footerReference w:type="first" r:id="rId12"/>
      <w:pgSz w:w="11906" w:h="16838"/>
      <w:pgMar w:top="360" w:right="991" w:bottom="713" w:left="900" w:header="708" w:footer="7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02165" w14:textId="77777777" w:rsidR="00145A69" w:rsidRDefault="00145A69">
      <w:r>
        <w:separator/>
      </w:r>
    </w:p>
  </w:endnote>
  <w:endnote w:type="continuationSeparator" w:id="0">
    <w:p w14:paraId="7786234E" w14:textId="77777777" w:rsidR="00145A69" w:rsidRDefault="0014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F4E1" w14:textId="72EEC1A3" w:rsidR="004954D3" w:rsidRDefault="004954D3" w:rsidP="004934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E8DB79" w14:textId="77777777" w:rsidR="004954D3" w:rsidRDefault="00495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EC39" w14:textId="6E5E18C6" w:rsidR="00FD12B9" w:rsidRPr="00FD12B9" w:rsidRDefault="004954D3" w:rsidP="00FD12B9">
    <w:pPr>
      <w:rPr>
        <w:rFonts w:ascii="Arial" w:hAnsi="Arial" w:cs="Arial"/>
        <w:b/>
      </w:rPr>
    </w:pPr>
    <w:r>
      <w:rPr>
        <w:noProof/>
      </w:rPr>
      <w:drawing>
        <wp:anchor distT="0" distB="0" distL="114300" distR="114300" simplePos="0" relativeHeight="251660800" behindDoc="1" locked="0" layoutInCell="1" allowOverlap="1" wp14:anchorId="4880AA30" wp14:editId="0A3344D5">
          <wp:simplePos x="0" y="0"/>
          <wp:positionH relativeFrom="margin">
            <wp:posOffset>-583565</wp:posOffset>
          </wp:positionH>
          <wp:positionV relativeFrom="margin">
            <wp:posOffset>9615805</wp:posOffset>
          </wp:positionV>
          <wp:extent cx="7584440" cy="688340"/>
          <wp:effectExtent l="0" t="0" r="0" b="0"/>
          <wp:wrapSquare wrapText="bothSides"/>
          <wp:docPr id="11"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
                    <a:extLst>
                      <a:ext uri="{28A0092B-C50C-407E-A947-70E740481C1C}">
                        <a14:useLocalDpi xmlns:a14="http://schemas.microsoft.com/office/drawing/2010/main" val="0"/>
                      </a:ext>
                    </a:extLst>
                  </a:blip>
                  <a:srcRect t="29343"/>
                  <a:stretch>
                    <a:fillRect/>
                  </a:stretch>
                </pic:blipFill>
                <pic:spPr bwMode="auto">
                  <a:xfrm>
                    <a:off x="0" y="0"/>
                    <a:ext cx="7584440" cy="68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2B9">
      <w:tab/>
      <w:t xml:space="preserve">                                                     </w:t>
    </w:r>
    <w:r w:rsidR="00FD12B9">
      <w:rPr>
        <w:rFonts w:ascii="Arial" w:hAnsi="Arial" w:cs="Arial"/>
        <w:bCs/>
        <w:sz w:val="20"/>
        <w:szCs w:val="20"/>
      </w:rPr>
      <w:t>Revi</w:t>
    </w:r>
    <w:r w:rsidR="00FD12B9" w:rsidRPr="00FD12B9">
      <w:rPr>
        <w:rFonts w:ascii="Arial" w:hAnsi="Arial" w:cs="Arial"/>
        <w:bCs/>
        <w:sz w:val="20"/>
        <w:szCs w:val="20"/>
      </w:rPr>
      <w:t>sed February 2024</w:t>
    </w:r>
  </w:p>
  <w:p w14:paraId="3DAD2038" w14:textId="126F3D06" w:rsidR="004954D3" w:rsidRPr="00FD12B9" w:rsidRDefault="004954D3" w:rsidP="00FD12B9">
    <w:pPr>
      <w:pStyle w:val="Footer"/>
      <w:tabs>
        <w:tab w:val="clear" w:pos="4153"/>
        <w:tab w:val="clear" w:pos="8306"/>
        <w:tab w:val="center" w:pos="500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4B27" w14:textId="3A88AAFD" w:rsidR="004954D3" w:rsidRDefault="004954D3" w:rsidP="004934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6572C9" w14:textId="1B5E478A" w:rsidR="004954D3" w:rsidRDefault="004954D3">
    <w:pPr>
      <w:pStyle w:val="Footer"/>
    </w:pPr>
    <w:r>
      <w:rPr>
        <w:noProof/>
      </w:rPr>
      <w:drawing>
        <wp:anchor distT="0" distB="0" distL="114300" distR="114300" simplePos="0" relativeHeight="251663872" behindDoc="1" locked="0" layoutInCell="1" allowOverlap="1" wp14:anchorId="61A894B8" wp14:editId="510DF6B0">
          <wp:simplePos x="0" y="0"/>
          <wp:positionH relativeFrom="margin">
            <wp:posOffset>-583565</wp:posOffset>
          </wp:positionH>
          <wp:positionV relativeFrom="margin">
            <wp:posOffset>9553575</wp:posOffset>
          </wp:positionV>
          <wp:extent cx="7584440" cy="688340"/>
          <wp:effectExtent l="0" t="0" r="0" b="0"/>
          <wp:wrapSquare wrapText="bothSides"/>
          <wp:docPr id="10"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t="29343"/>
                  <a:stretch>
                    <a:fillRect/>
                  </a:stretch>
                </pic:blipFill>
                <pic:spPr bwMode="auto">
                  <a:xfrm>
                    <a:off x="0" y="0"/>
                    <a:ext cx="7584440"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D3D1" w14:textId="77777777" w:rsidR="00145A69" w:rsidRDefault="00145A69">
      <w:r>
        <w:separator/>
      </w:r>
    </w:p>
  </w:footnote>
  <w:footnote w:type="continuationSeparator" w:id="0">
    <w:p w14:paraId="27B15FEC" w14:textId="77777777" w:rsidR="00145A69" w:rsidRDefault="00145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73F5" w14:textId="68378B8A" w:rsidR="00936021" w:rsidRDefault="004954D3">
    <w:pPr>
      <w:pStyle w:val="Header"/>
    </w:pPr>
    <w:r>
      <w:rPr>
        <w:noProof/>
      </w:rPr>
      <w:drawing>
        <wp:anchor distT="0" distB="0" distL="114300" distR="114300" simplePos="0" relativeHeight="251655680" behindDoc="0" locked="0" layoutInCell="1" allowOverlap="1" wp14:anchorId="5B3A5764" wp14:editId="4F1E8D4B">
          <wp:simplePos x="0" y="0"/>
          <wp:positionH relativeFrom="margin">
            <wp:posOffset>7465695</wp:posOffset>
          </wp:positionH>
          <wp:positionV relativeFrom="margin">
            <wp:posOffset>-356870</wp:posOffset>
          </wp:positionV>
          <wp:extent cx="1769110" cy="759460"/>
          <wp:effectExtent l="0" t="0" r="0" b="0"/>
          <wp:wrapSquare wrapText="bothSides"/>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10" cy="759460"/>
                  </a:xfrm>
                  <a:prstGeom prst="rect">
                    <a:avLst/>
                  </a:prstGeom>
                  <a:solidFill>
                    <a:srgbClr val="C00000"/>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BDC"/>
    <w:multiLevelType w:val="hybridMultilevel"/>
    <w:tmpl w:val="DBECA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F32"/>
    <w:multiLevelType w:val="hybridMultilevel"/>
    <w:tmpl w:val="983A9190"/>
    <w:lvl w:ilvl="0" w:tplc="FD4E231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1A04"/>
    <w:multiLevelType w:val="hybridMultilevel"/>
    <w:tmpl w:val="272E5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2275A"/>
    <w:multiLevelType w:val="hybridMultilevel"/>
    <w:tmpl w:val="E7261F5A"/>
    <w:lvl w:ilvl="0" w:tplc="043E1BDC">
      <w:numFmt w:val="bullet"/>
      <w:lvlText w:val=""/>
      <w:lvlJc w:val="left"/>
      <w:pPr>
        <w:tabs>
          <w:tab w:val="num" w:pos="720"/>
        </w:tabs>
        <w:ind w:left="720" w:hanging="360"/>
      </w:pPr>
      <w:rPr>
        <w:rFonts w:ascii="Symbol" w:eastAsia="Times New Roman" w:hAnsi="Symbol"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187885"/>
    <w:multiLevelType w:val="hybridMultilevel"/>
    <w:tmpl w:val="AA8A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60276"/>
    <w:multiLevelType w:val="hybridMultilevel"/>
    <w:tmpl w:val="3BCA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D1CA2"/>
    <w:multiLevelType w:val="hybridMultilevel"/>
    <w:tmpl w:val="286CFEA8"/>
    <w:lvl w:ilvl="0" w:tplc="0D76C96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45FBD"/>
    <w:multiLevelType w:val="hybridMultilevel"/>
    <w:tmpl w:val="2BB87E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972E4"/>
    <w:multiLevelType w:val="hybridMultilevel"/>
    <w:tmpl w:val="7DEA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33D33"/>
    <w:multiLevelType w:val="hybridMultilevel"/>
    <w:tmpl w:val="3DE03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01374"/>
    <w:multiLevelType w:val="hybridMultilevel"/>
    <w:tmpl w:val="448C1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C22AD9"/>
    <w:multiLevelType w:val="hybridMultilevel"/>
    <w:tmpl w:val="0D42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559A9"/>
    <w:multiLevelType w:val="multilevel"/>
    <w:tmpl w:val="194008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BC715F"/>
    <w:multiLevelType w:val="hybridMultilevel"/>
    <w:tmpl w:val="92C8A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EC116F"/>
    <w:multiLevelType w:val="hybridMultilevel"/>
    <w:tmpl w:val="02A6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3368F"/>
    <w:multiLevelType w:val="hybridMultilevel"/>
    <w:tmpl w:val="94A2B6D2"/>
    <w:lvl w:ilvl="0" w:tplc="08090001">
      <w:start w:val="1"/>
      <w:numFmt w:val="bullet"/>
      <w:lvlText w:val=""/>
      <w:lvlJc w:val="left"/>
      <w:pPr>
        <w:tabs>
          <w:tab w:val="num" w:pos="720"/>
        </w:tabs>
        <w:ind w:left="720" w:hanging="360"/>
      </w:pPr>
      <w:rPr>
        <w:rFonts w:ascii="Symbol" w:hAnsi="Symbol" w:hint="default"/>
      </w:rPr>
    </w:lvl>
    <w:lvl w:ilvl="1" w:tplc="DC52BC84">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4750E9"/>
    <w:multiLevelType w:val="hybridMultilevel"/>
    <w:tmpl w:val="5FF4B232"/>
    <w:lvl w:ilvl="0" w:tplc="FD4E231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02AC3"/>
    <w:multiLevelType w:val="hybridMultilevel"/>
    <w:tmpl w:val="194008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0252D3"/>
    <w:multiLevelType w:val="hybridMultilevel"/>
    <w:tmpl w:val="711CDE2E"/>
    <w:lvl w:ilvl="0" w:tplc="403A61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8831623"/>
    <w:multiLevelType w:val="hybridMultilevel"/>
    <w:tmpl w:val="EE3C184C"/>
    <w:lvl w:ilvl="0" w:tplc="403A61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052903"/>
    <w:multiLevelType w:val="hybridMultilevel"/>
    <w:tmpl w:val="722EB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C33054"/>
    <w:multiLevelType w:val="hybridMultilevel"/>
    <w:tmpl w:val="0E1A4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632284">
    <w:abstractNumId w:val="7"/>
  </w:num>
  <w:num w:numId="2" w16cid:durableId="1103652985">
    <w:abstractNumId w:val="17"/>
  </w:num>
  <w:num w:numId="3" w16cid:durableId="357201416">
    <w:abstractNumId w:val="20"/>
  </w:num>
  <w:num w:numId="4" w16cid:durableId="959073098">
    <w:abstractNumId w:val="13"/>
  </w:num>
  <w:num w:numId="5" w16cid:durableId="2130320071">
    <w:abstractNumId w:val="0"/>
  </w:num>
  <w:num w:numId="6" w16cid:durableId="345130810">
    <w:abstractNumId w:val="10"/>
  </w:num>
  <w:num w:numId="7" w16cid:durableId="1982808694">
    <w:abstractNumId w:val="12"/>
  </w:num>
  <w:num w:numId="8" w16cid:durableId="760568940">
    <w:abstractNumId w:val="15"/>
  </w:num>
  <w:num w:numId="9" w16cid:durableId="2048946517">
    <w:abstractNumId w:val="3"/>
  </w:num>
  <w:num w:numId="10" w16cid:durableId="1609893077">
    <w:abstractNumId w:val="1"/>
  </w:num>
  <w:num w:numId="11" w16cid:durableId="533351899">
    <w:abstractNumId w:val="16"/>
  </w:num>
  <w:num w:numId="12" w16cid:durableId="824974630">
    <w:abstractNumId w:val="8"/>
  </w:num>
  <w:num w:numId="13" w16cid:durableId="114912197">
    <w:abstractNumId w:val="4"/>
  </w:num>
  <w:num w:numId="14" w16cid:durableId="1015502185">
    <w:abstractNumId w:val="14"/>
  </w:num>
  <w:num w:numId="15" w16cid:durableId="2046054610">
    <w:abstractNumId w:val="11"/>
  </w:num>
  <w:num w:numId="16" w16cid:durableId="963120766">
    <w:abstractNumId w:val="5"/>
  </w:num>
  <w:num w:numId="17" w16cid:durableId="773289220">
    <w:abstractNumId w:val="19"/>
  </w:num>
  <w:num w:numId="18" w16cid:durableId="1986279076">
    <w:abstractNumId w:val="18"/>
  </w:num>
  <w:num w:numId="19" w16cid:durableId="380983695">
    <w:abstractNumId w:val="2"/>
  </w:num>
  <w:num w:numId="20" w16cid:durableId="476192809">
    <w:abstractNumId w:val="6"/>
  </w:num>
  <w:num w:numId="21" w16cid:durableId="1973049373">
    <w:abstractNumId w:val="21"/>
  </w:num>
  <w:num w:numId="22" w16cid:durableId="1783643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26"/>
    <w:rsid w:val="000010C2"/>
    <w:rsid w:val="00002400"/>
    <w:rsid w:val="00010A01"/>
    <w:rsid w:val="00013866"/>
    <w:rsid w:val="00014A27"/>
    <w:rsid w:val="00020E2F"/>
    <w:rsid w:val="00044410"/>
    <w:rsid w:val="000501C1"/>
    <w:rsid w:val="000502D6"/>
    <w:rsid w:val="00056D6A"/>
    <w:rsid w:val="000606FA"/>
    <w:rsid w:val="00084CE1"/>
    <w:rsid w:val="00084F7E"/>
    <w:rsid w:val="0008504D"/>
    <w:rsid w:val="000A0780"/>
    <w:rsid w:val="000A1FD7"/>
    <w:rsid w:val="000A5D93"/>
    <w:rsid w:val="000B2EB7"/>
    <w:rsid w:val="000B58A9"/>
    <w:rsid w:val="000B7A03"/>
    <w:rsid w:val="000C1AB8"/>
    <w:rsid w:val="000D7EEA"/>
    <w:rsid w:val="000E10E8"/>
    <w:rsid w:val="000E5D57"/>
    <w:rsid w:val="00100D39"/>
    <w:rsid w:val="00103D63"/>
    <w:rsid w:val="001174E9"/>
    <w:rsid w:val="00124B35"/>
    <w:rsid w:val="00144AF7"/>
    <w:rsid w:val="00145A69"/>
    <w:rsid w:val="00151F1B"/>
    <w:rsid w:val="0016081C"/>
    <w:rsid w:val="00174334"/>
    <w:rsid w:val="001908BE"/>
    <w:rsid w:val="001963AB"/>
    <w:rsid w:val="001A12E8"/>
    <w:rsid w:val="001A4882"/>
    <w:rsid w:val="001A794D"/>
    <w:rsid w:val="001B5312"/>
    <w:rsid w:val="001C2B0E"/>
    <w:rsid w:val="001D2E2F"/>
    <w:rsid w:val="001D4516"/>
    <w:rsid w:val="001E68F2"/>
    <w:rsid w:val="001F3C0B"/>
    <w:rsid w:val="001F72EB"/>
    <w:rsid w:val="00207281"/>
    <w:rsid w:val="002079D2"/>
    <w:rsid w:val="00212DD4"/>
    <w:rsid w:val="00214BEF"/>
    <w:rsid w:val="00215748"/>
    <w:rsid w:val="0021666F"/>
    <w:rsid w:val="002271D7"/>
    <w:rsid w:val="00243B26"/>
    <w:rsid w:val="00243CF7"/>
    <w:rsid w:val="002444EC"/>
    <w:rsid w:val="00244961"/>
    <w:rsid w:val="00255BC3"/>
    <w:rsid w:val="00272467"/>
    <w:rsid w:val="0027566A"/>
    <w:rsid w:val="00277A3A"/>
    <w:rsid w:val="00283BEC"/>
    <w:rsid w:val="002934EF"/>
    <w:rsid w:val="002A2DE6"/>
    <w:rsid w:val="002A4435"/>
    <w:rsid w:val="002A767A"/>
    <w:rsid w:val="002B5BED"/>
    <w:rsid w:val="002B76CE"/>
    <w:rsid w:val="002C0C78"/>
    <w:rsid w:val="002D0861"/>
    <w:rsid w:val="002D10B3"/>
    <w:rsid w:val="002D1782"/>
    <w:rsid w:val="002D1D5D"/>
    <w:rsid w:val="002E32D5"/>
    <w:rsid w:val="002E6123"/>
    <w:rsid w:val="002F0982"/>
    <w:rsid w:val="002F6EE2"/>
    <w:rsid w:val="0030492D"/>
    <w:rsid w:val="00305248"/>
    <w:rsid w:val="00310CD9"/>
    <w:rsid w:val="003148FD"/>
    <w:rsid w:val="0032456A"/>
    <w:rsid w:val="0033152C"/>
    <w:rsid w:val="00334DEA"/>
    <w:rsid w:val="003552F7"/>
    <w:rsid w:val="00355A49"/>
    <w:rsid w:val="003615EA"/>
    <w:rsid w:val="00373A44"/>
    <w:rsid w:val="003751F5"/>
    <w:rsid w:val="00376C57"/>
    <w:rsid w:val="003A5592"/>
    <w:rsid w:val="003A6C13"/>
    <w:rsid w:val="003C0947"/>
    <w:rsid w:val="003C5293"/>
    <w:rsid w:val="003D652C"/>
    <w:rsid w:val="003E0C1A"/>
    <w:rsid w:val="003E5807"/>
    <w:rsid w:val="00400ED9"/>
    <w:rsid w:val="00402B4A"/>
    <w:rsid w:val="004049E3"/>
    <w:rsid w:val="00404CA9"/>
    <w:rsid w:val="0041092C"/>
    <w:rsid w:val="00412CA7"/>
    <w:rsid w:val="00416745"/>
    <w:rsid w:val="00417259"/>
    <w:rsid w:val="00431ED1"/>
    <w:rsid w:val="004359F4"/>
    <w:rsid w:val="00445805"/>
    <w:rsid w:val="00454883"/>
    <w:rsid w:val="00460ED9"/>
    <w:rsid w:val="00461F00"/>
    <w:rsid w:val="00465F66"/>
    <w:rsid w:val="004741E4"/>
    <w:rsid w:val="00475631"/>
    <w:rsid w:val="004866DA"/>
    <w:rsid w:val="004954D3"/>
    <w:rsid w:val="004A2177"/>
    <w:rsid w:val="004B623D"/>
    <w:rsid w:val="004B6405"/>
    <w:rsid w:val="004C32E6"/>
    <w:rsid w:val="004C443C"/>
    <w:rsid w:val="004C6AA5"/>
    <w:rsid w:val="004D153B"/>
    <w:rsid w:val="004D619A"/>
    <w:rsid w:val="004E0BEF"/>
    <w:rsid w:val="004E1FC4"/>
    <w:rsid w:val="004E24E8"/>
    <w:rsid w:val="005127E1"/>
    <w:rsid w:val="00512879"/>
    <w:rsid w:val="005158A9"/>
    <w:rsid w:val="005353AD"/>
    <w:rsid w:val="00536F55"/>
    <w:rsid w:val="00541231"/>
    <w:rsid w:val="00544B82"/>
    <w:rsid w:val="00544D61"/>
    <w:rsid w:val="005470AC"/>
    <w:rsid w:val="00547630"/>
    <w:rsid w:val="00555847"/>
    <w:rsid w:val="00563FAD"/>
    <w:rsid w:val="00564D33"/>
    <w:rsid w:val="005701BA"/>
    <w:rsid w:val="005770F6"/>
    <w:rsid w:val="005840F4"/>
    <w:rsid w:val="0058626D"/>
    <w:rsid w:val="00594369"/>
    <w:rsid w:val="00594576"/>
    <w:rsid w:val="005977F3"/>
    <w:rsid w:val="005B0CA1"/>
    <w:rsid w:val="005C3BE7"/>
    <w:rsid w:val="005C50A9"/>
    <w:rsid w:val="005C674A"/>
    <w:rsid w:val="005C6899"/>
    <w:rsid w:val="005C768C"/>
    <w:rsid w:val="005D1B2B"/>
    <w:rsid w:val="005D4431"/>
    <w:rsid w:val="005D6F73"/>
    <w:rsid w:val="005E3E09"/>
    <w:rsid w:val="005F07EC"/>
    <w:rsid w:val="005F3D71"/>
    <w:rsid w:val="005F5133"/>
    <w:rsid w:val="005F5971"/>
    <w:rsid w:val="0060667A"/>
    <w:rsid w:val="00606DFB"/>
    <w:rsid w:val="00613552"/>
    <w:rsid w:val="00615532"/>
    <w:rsid w:val="00616857"/>
    <w:rsid w:val="006231D7"/>
    <w:rsid w:val="0063280F"/>
    <w:rsid w:val="00637F3A"/>
    <w:rsid w:val="00642C47"/>
    <w:rsid w:val="006510C6"/>
    <w:rsid w:val="00685C63"/>
    <w:rsid w:val="006908C8"/>
    <w:rsid w:val="00694206"/>
    <w:rsid w:val="006948BE"/>
    <w:rsid w:val="006C4C07"/>
    <w:rsid w:val="006C7438"/>
    <w:rsid w:val="006D19C0"/>
    <w:rsid w:val="006E4F43"/>
    <w:rsid w:val="006F45B6"/>
    <w:rsid w:val="006F605A"/>
    <w:rsid w:val="006F61BE"/>
    <w:rsid w:val="006F6ED4"/>
    <w:rsid w:val="00701A26"/>
    <w:rsid w:val="0070782D"/>
    <w:rsid w:val="00710AE5"/>
    <w:rsid w:val="0071344B"/>
    <w:rsid w:val="00716A57"/>
    <w:rsid w:val="00720B71"/>
    <w:rsid w:val="00744011"/>
    <w:rsid w:val="00746C60"/>
    <w:rsid w:val="00763BD0"/>
    <w:rsid w:val="00772EB0"/>
    <w:rsid w:val="00775A0E"/>
    <w:rsid w:val="00781A10"/>
    <w:rsid w:val="007867F7"/>
    <w:rsid w:val="007952F7"/>
    <w:rsid w:val="007A05F9"/>
    <w:rsid w:val="007A26D4"/>
    <w:rsid w:val="007B0413"/>
    <w:rsid w:val="007B0B19"/>
    <w:rsid w:val="007B3FF6"/>
    <w:rsid w:val="007C3A6A"/>
    <w:rsid w:val="007D223A"/>
    <w:rsid w:val="007E391A"/>
    <w:rsid w:val="007E6517"/>
    <w:rsid w:val="007E7C80"/>
    <w:rsid w:val="007F0510"/>
    <w:rsid w:val="007F3BC3"/>
    <w:rsid w:val="00805A69"/>
    <w:rsid w:val="00807FC4"/>
    <w:rsid w:val="008170CA"/>
    <w:rsid w:val="00820372"/>
    <w:rsid w:val="008247D1"/>
    <w:rsid w:val="008301BC"/>
    <w:rsid w:val="00836A8C"/>
    <w:rsid w:val="00846F3C"/>
    <w:rsid w:val="00851AAF"/>
    <w:rsid w:val="00852F27"/>
    <w:rsid w:val="00854EF1"/>
    <w:rsid w:val="008638DF"/>
    <w:rsid w:val="008708E0"/>
    <w:rsid w:val="00870999"/>
    <w:rsid w:val="0087567F"/>
    <w:rsid w:val="0088073B"/>
    <w:rsid w:val="00885483"/>
    <w:rsid w:val="00895B49"/>
    <w:rsid w:val="008B7A8A"/>
    <w:rsid w:val="008E04A5"/>
    <w:rsid w:val="008F6E15"/>
    <w:rsid w:val="008F7423"/>
    <w:rsid w:val="0090417F"/>
    <w:rsid w:val="009058FD"/>
    <w:rsid w:val="009120F4"/>
    <w:rsid w:val="00912969"/>
    <w:rsid w:val="00912EFE"/>
    <w:rsid w:val="00914056"/>
    <w:rsid w:val="00920515"/>
    <w:rsid w:val="009264C6"/>
    <w:rsid w:val="00927D67"/>
    <w:rsid w:val="00933BC1"/>
    <w:rsid w:val="00936021"/>
    <w:rsid w:val="0095479C"/>
    <w:rsid w:val="009575D1"/>
    <w:rsid w:val="009622EE"/>
    <w:rsid w:val="00962450"/>
    <w:rsid w:val="00962D7E"/>
    <w:rsid w:val="009633F1"/>
    <w:rsid w:val="00992F0C"/>
    <w:rsid w:val="00993731"/>
    <w:rsid w:val="0099594F"/>
    <w:rsid w:val="009A2A54"/>
    <w:rsid w:val="009A44DB"/>
    <w:rsid w:val="009C53D0"/>
    <w:rsid w:val="009C551D"/>
    <w:rsid w:val="009D078A"/>
    <w:rsid w:val="009D6BC1"/>
    <w:rsid w:val="009E17A6"/>
    <w:rsid w:val="009E198C"/>
    <w:rsid w:val="009F0EC8"/>
    <w:rsid w:val="00A02A89"/>
    <w:rsid w:val="00A14455"/>
    <w:rsid w:val="00A1445E"/>
    <w:rsid w:val="00A14B13"/>
    <w:rsid w:val="00A30BBD"/>
    <w:rsid w:val="00A36B90"/>
    <w:rsid w:val="00A36F34"/>
    <w:rsid w:val="00A4058D"/>
    <w:rsid w:val="00A44CEE"/>
    <w:rsid w:val="00A54E97"/>
    <w:rsid w:val="00A560F0"/>
    <w:rsid w:val="00A57F06"/>
    <w:rsid w:val="00A605D0"/>
    <w:rsid w:val="00A671C2"/>
    <w:rsid w:val="00A67F7A"/>
    <w:rsid w:val="00A71492"/>
    <w:rsid w:val="00A72F21"/>
    <w:rsid w:val="00A7721D"/>
    <w:rsid w:val="00A81719"/>
    <w:rsid w:val="00A82D7A"/>
    <w:rsid w:val="00A903B2"/>
    <w:rsid w:val="00A93535"/>
    <w:rsid w:val="00AA05CF"/>
    <w:rsid w:val="00AA1E5F"/>
    <w:rsid w:val="00AA3844"/>
    <w:rsid w:val="00AB661D"/>
    <w:rsid w:val="00AC7BB6"/>
    <w:rsid w:val="00AD0F2E"/>
    <w:rsid w:val="00AD32FD"/>
    <w:rsid w:val="00AE5740"/>
    <w:rsid w:val="00AF3F55"/>
    <w:rsid w:val="00AF4D00"/>
    <w:rsid w:val="00AF6562"/>
    <w:rsid w:val="00B00C1E"/>
    <w:rsid w:val="00B0309F"/>
    <w:rsid w:val="00B03AD2"/>
    <w:rsid w:val="00B30298"/>
    <w:rsid w:val="00B32B3B"/>
    <w:rsid w:val="00B32B41"/>
    <w:rsid w:val="00B32E58"/>
    <w:rsid w:val="00B34F99"/>
    <w:rsid w:val="00B35C7A"/>
    <w:rsid w:val="00B36D38"/>
    <w:rsid w:val="00B40E36"/>
    <w:rsid w:val="00B47FD3"/>
    <w:rsid w:val="00B622BA"/>
    <w:rsid w:val="00B706C9"/>
    <w:rsid w:val="00B73F0B"/>
    <w:rsid w:val="00B928E4"/>
    <w:rsid w:val="00B978D3"/>
    <w:rsid w:val="00B97C06"/>
    <w:rsid w:val="00BA76BC"/>
    <w:rsid w:val="00BB57F5"/>
    <w:rsid w:val="00BB6D3E"/>
    <w:rsid w:val="00BC4DCB"/>
    <w:rsid w:val="00BC5623"/>
    <w:rsid w:val="00BD5B21"/>
    <w:rsid w:val="00BF54E3"/>
    <w:rsid w:val="00C01573"/>
    <w:rsid w:val="00C0302E"/>
    <w:rsid w:val="00C063A0"/>
    <w:rsid w:val="00C11105"/>
    <w:rsid w:val="00C127E1"/>
    <w:rsid w:val="00C255B3"/>
    <w:rsid w:val="00C30B2C"/>
    <w:rsid w:val="00C30C70"/>
    <w:rsid w:val="00C334E4"/>
    <w:rsid w:val="00C367E8"/>
    <w:rsid w:val="00C507DA"/>
    <w:rsid w:val="00C62D0C"/>
    <w:rsid w:val="00C7097E"/>
    <w:rsid w:val="00C74852"/>
    <w:rsid w:val="00C76248"/>
    <w:rsid w:val="00C768ED"/>
    <w:rsid w:val="00C87F4F"/>
    <w:rsid w:val="00C90565"/>
    <w:rsid w:val="00CB1058"/>
    <w:rsid w:val="00CB1984"/>
    <w:rsid w:val="00CB79DA"/>
    <w:rsid w:val="00CC02FB"/>
    <w:rsid w:val="00CD3570"/>
    <w:rsid w:val="00CE3211"/>
    <w:rsid w:val="00CF1360"/>
    <w:rsid w:val="00CF2CCD"/>
    <w:rsid w:val="00CF2E44"/>
    <w:rsid w:val="00D00436"/>
    <w:rsid w:val="00D039FF"/>
    <w:rsid w:val="00D120BE"/>
    <w:rsid w:val="00D13A13"/>
    <w:rsid w:val="00D254EC"/>
    <w:rsid w:val="00D26D1E"/>
    <w:rsid w:val="00D4332E"/>
    <w:rsid w:val="00D47436"/>
    <w:rsid w:val="00D501A2"/>
    <w:rsid w:val="00D518F8"/>
    <w:rsid w:val="00D52C8C"/>
    <w:rsid w:val="00D531D0"/>
    <w:rsid w:val="00D532D9"/>
    <w:rsid w:val="00D56844"/>
    <w:rsid w:val="00D903FD"/>
    <w:rsid w:val="00D9329F"/>
    <w:rsid w:val="00D94681"/>
    <w:rsid w:val="00DB42F1"/>
    <w:rsid w:val="00DD0DA7"/>
    <w:rsid w:val="00DD1534"/>
    <w:rsid w:val="00DD3488"/>
    <w:rsid w:val="00DE2693"/>
    <w:rsid w:val="00DE41D6"/>
    <w:rsid w:val="00DF7EF2"/>
    <w:rsid w:val="00E12F3B"/>
    <w:rsid w:val="00E21E51"/>
    <w:rsid w:val="00E227FE"/>
    <w:rsid w:val="00E23F80"/>
    <w:rsid w:val="00E255C3"/>
    <w:rsid w:val="00E3422D"/>
    <w:rsid w:val="00E3498E"/>
    <w:rsid w:val="00E3796E"/>
    <w:rsid w:val="00E42C68"/>
    <w:rsid w:val="00E472C1"/>
    <w:rsid w:val="00E47DC2"/>
    <w:rsid w:val="00E56756"/>
    <w:rsid w:val="00E67D35"/>
    <w:rsid w:val="00E7230E"/>
    <w:rsid w:val="00E730C0"/>
    <w:rsid w:val="00E82843"/>
    <w:rsid w:val="00E84BF3"/>
    <w:rsid w:val="00E85B92"/>
    <w:rsid w:val="00E91B7B"/>
    <w:rsid w:val="00EA0C3A"/>
    <w:rsid w:val="00EA261B"/>
    <w:rsid w:val="00EB155E"/>
    <w:rsid w:val="00EB369A"/>
    <w:rsid w:val="00EB5E78"/>
    <w:rsid w:val="00EB7AC8"/>
    <w:rsid w:val="00EC03DA"/>
    <w:rsid w:val="00EC0C6F"/>
    <w:rsid w:val="00EC0DC0"/>
    <w:rsid w:val="00EC1205"/>
    <w:rsid w:val="00EC66CD"/>
    <w:rsid w:val="00ED0D26"/>
    <w:rsid w:val="00ED4FBD"/>
    <w:rsid w:val="00ED5350"/>
    <w:rsid w:val="00EE1F1A"/>
    <w:rsid w:val="00EE6825"/>
    <w:rsid w:val="00EF51E1"/>
    <w:rsid w:val="00EF6D40"/>
    <w:rsid w:val="00F0127A"/>
    <w:rsid w:val="00F2167A"/>
    <w:rsid w:val="00F21A52"/>
    <w:rsid w:val="00F23E4A"/>
    <w:rsid w:val="00F248D2"/>
    <w:rsid w:val="00F31D6D"/>
    <w:rsid w:val="00F37A9C"/>
    <w:rsid w:val="00F439E1"/>
    <w:rsid w:val="00F463C1"/>
    <w:rsid w:val="00F46EB6"/>
    <w:rsid w:val="00F60EC4"/>
    <w:rsid w:val="00F72042"/>
    <w:rsid w:val="00F85CA7"/>
    <w:rsid w:val="00F929E9"/>
    <w:rsid w:val="00FC053E"/>
    <w:rsid w:val="00FC4DC9"/>
    <w:rsid w:val="00FD12B9"/>
    <w:rsid w:val="00FD2C0B"/>
    <w:rsid w:val="00FD6290"/>
    <w:rsid w:val="00FF06EE"/>
    <w:rsid w:val="00FF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F24E1"/>
  <w15:chartTrackingRefBased/>
  <w15:docId w15:val="{624D76F4-78D7-5C4C-860B-8C066CA7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857"/>
    <w:rPr>
      <w:sz w:val="24"/>
      <w:szCs w:val="24"/>
    </w:rPr>
  </w:style>
  <w:style w:type="paragraph" w:styleId="Heading1">
    <w:name w:val="heading 1"/>
    <w:basedOn w:val="Normal"/>
    <w:next w:val="Normal"/>
    <w:qFormat/>
    <w:rsid w:val="002444E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5A0E"/>
    <w:rPr>
      <w:rFonts w:ascii="Tahoma" w:hAnsi="Tahoma" w:cs="Tahoma"/>
      <w:sz w:val="16"/>
      <w:szCs w:val="16"/>
    </w:rPr>
  </w:style>
  <w:style w:type="paragraph" w:styleId="Header">
    <w:name w:val="header"/>
    <w:basedOn w:val="Normal"/>
    <w:rsid w:val="00DD3488"/>
    <w:pPr>
      <w:tabs>
        <w:tab w:val="center" w:pos="4153"/>
        <w:tab w:val="right" w:pos="8306"/>
      </w:tabs>
    </w:pPr>
  </w:style>
  <w:style w:type="paragraph" w:styleId="Footer">
    <w:name w:val="footer"/>
    <w:basedOn w:val="Normal"/>
    <w:rsid w:val="00DD3488"/>
    <w:pPr>
      <w:tabs>
        <w:tab w:val="center" w:pos="4153"/>
        <w:tab w:val="right" w:pos="8306"/>
      </w:tabs>
    </w:pPr>
  </w:style>
  <w:style w:type="character" w:styleId="PageNumber">
    <w:name w:val="page number"/>
    <w:basedOn w:val="DefaultParagraphFont"/>
    <w:rsid w:val="00DD3488"/>
  </w:style>
  <w:style w:type="character" w:styleId="Hyperlink">
    <w:name w:val="Hyperlink"/>
    <w:rsid w:val="009E17A6"/>
    <w:rPr>
      <w:color w:val="0000FF"/>
      <w:u w:val="single"/>
    </w:rPr>
  </w:style>
  <w:style w:type="character" w:styleId="UnresolvedMention">
    <w:name w:val="Unresolved Mention"/>
    <w:uiPriority w:val="99"/>
    <w:semiHidden/>
    <w:unhideWhenUsed/>
    <w:rsid w:val="00475631"/>
    <w:rPr>
      <w:color w:val="808080"/>
      <w:shd w:val="clear" w:color="auto" w:fill="E6E6E6"/>
    </w:rPr>
  </w:style>
  <w:style w:type="paragraph" w:styleId="ListParagraph">
    <w:name w:val="List Paragraph"/>
    <w:basedOn w:val="Normal"/>
    <w:uiPriority w:val="34"/>
    <w:qFormat/>
    <w:rsid w:val="00C30C70"/>
    <w:pPr>
      <w:ind w:left="720"/>
    </w:pPr>
  </w:style>
  <w:style w:type="character" w:customStyle="1" w:styleId="apple-converted-space">
    <w:name w:val="apple-converted-space"/>
    <w:basedOn w:val="DefaultParagraphFont"/>
    <w:rsid w:val="009622EE"/>
  </w:style>
  <w:style w:type="character" w:styleId="FollowedHyperlink">
    <w:name w:val="FollowedHyperlink"/>
    <w:basedOn w:val="DefaultParagraphFont"/>
    <w:rsid w:val="000A1F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94939">
      <w:bodyDiv w:val="1"/>
      <w:marLeft w:val="0"/>
      <w:marRight w:val="0"/>
      <w:marTop w:val="0"/>
      <w:marBottom w:val="0"/>
      <w:divBdr>
        <w:top w:val="none" w:sz="0" w:space="0" w:color="auto"/>
        <w:left w:val="none" w:sz="0" w:space="0" w:color="auto"/>
        <w:bottom w:val="none" w:sz="0" w:space="0" w:color="auto"/>
        <w:right w:val="none" w:sz="0" w:space="0" w:color="auto"/>
      </w:divBdr>
    </w:div>
    <w:div w:id="1188298998">
      <w:bodyDiv w:val="1"/>
      <w:marLeft w:val="0"/>
      <w:marRight w:val="0"/>
      <w:marTop w:val="0"/>
      <w:marBottom w:val="0"/>
      <w:divBdr>
        <w:top w:val="none" w:sz="0" w:space="0" w:color="auto"/>
        <w:left w:val="none" w:sz="0" w:space="0" w:color="auto"/>
        <w:bottom w:val="none" w:sz="0" w:space="0" w:color="auto"/>
        <w:right w:val="none" w:sz="0" w:space="0" w:color="auto"/>
      </w:divBdr>
    </w:div>
    <w:div w:id="1232345905">
      <w:bodyDiv w:val="1"/>
      <w:marLeft w:val="0"/>
      <w:marRight w:val="0"/>
      <w:marTop w:val="0"/>
      <w:marBottom w:val="0"/>
      <w:divBdr>
        <w:top w:val="none" w:sz="0" w:space="0" w:color="auto"/>
        <w:left w:val="none" w:sz="0" w:space="0" w:color="auto"/>
        <w:bottom w:val="none" w:sz="0" w:space="0" w:color="auto"/>
        <w:right w:val="none" w:sz="0" w:space="0" w:color="auto"/>
      </w:divBdr>
    </w:div>
    <w:div w:id="1500192175">
      <w:bodyDiv w:val="1"/>
      <w:marLeft w:val="0"/>
      <w:marRight w:val="0"/>
      <w:marTop w:val="0"/>
      <w:marBottom w:val="0"/>
      <w:divBdr>
        <w:top w:val="none" w:sz="0" w:space="0" w:color="auto"/>
        <w:left w:val="none" w:sz="0" w:space="0" w:color="auto"/>
        <w:bottom w:val="none" w:sz="0" w:space="0" w:color="auto"/>
        <w:right w:val="none" w:sz="0" w:space="0" w:color="auto"/>
      </w:divBdr>
    </w:div>
    <w:div w:id="1509832456">
      <w:bodyDiv w:val="1"/>
      <w:marLeft w:val="0"/>
      <w:marRight w:val="0"/>
      <w:marTop w:val="0"/>
      <w:marBottom w:val="0"/>
      <w:divBdr>
        <w:top w:val="none" w:sz="0" w:space="0" w:color="auto"/>
        <w:left w:val="none" w:sz="0" w:space="0" w:color="auto"/>
        <w:bottom w:val="none" w:sz="0" w:space="0" w:color="auto"/>
        <w:right w:val="none" w:sz="0" w:space="0" w:color="auto"/>
      </w:divBdr>
    </w:div>
    <w:div w:id="204925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journals.co.uk/what-is-the-leuven-scale-and-how-to-us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Learning and Children, Children’s Commissioning</vt:lpstr>
    </vt:vector>
  </TitlesOfParts>
  <Company>Gateshead Council</Company>
  <LinksUpToDate>false</LinksUpToDate>
  <CharactersWithSpaces>3021</CharactersWithSpaces>
  <SharedDoc>false</SharedDoc>
  <HLinks>
    <vt:vector size="12" baseType="variant">
      <vt:variant>
        <vt:i4>4653102</vt:i4>
      </vt:variant>
      <vt:variant>
        <vt:i4>289</vt:i4>
      </vt:variant>
      <vt:variant>
        <vt:i4>0</vt:i4>
      </vt:variant>
      <vt:variant>
        <vt:i4>5</vt:i4>
      </vt:variant>
      <vt:variant>
        <vt:lpwstr>mailto:traceycavanagh@gateshead.gov.uk</vt:lpwstr>
      </vt:variant>
      <vt:variant>
        <vt:lpwstr/>
      </vt:variant>
      <vt:variant>
        <vt:i4>7471128</vt:i4>
      </vt:variant>
      <vt:variant>
        <vt:i4>286</vt:i4>
      </vt:variant>
      <vt:variant>
        <vt:i4>0</vt:i4>
      </vt:variant>
      <vt:variant>
        <vt:i4>5</vt:i4>
      </vt:variant>
      <vt:variant>
        <vt:lpwstr>mailto:senteam@gateshead.gov.uk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Children, Children’s Commissioning</dc:title>
  <dc:subject/>
  <dc:creator>jmcallister</dc:creator>
  <cp:keywords/>
  <cp:lastModifiedBy>Alex Thompson</cp:lastModifiedBy>
  <cp:revision>2</cp:revision>
  <cp:lastPrinted>2024-02-21T15:26:00Z</cp:lastPrinted>
  <dcterms:created xsi:type="dcterms:W3CDTF">2024-04-11T13:43:00Z</dcterms:created>
  <dcterms:modified xsi:type="dcterms:W3CDTF">2024-04-11T13:43:00Z</dcterms:modified>
</cp:coreProperties>
</file>